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6B" w:rsidRDefault="00396A6B" w:rsidP="000A60A8">
      <w:pPr>
        <w:shd w:val="clear" w:color="auto" w:fill="FFFFFF"/>
        <w:spacing w:line="264" w:lineRule="exact"/>
        <w:ind w:left="14"/>
        <w:jc w:val="center"/>
        <w:rPr>
          <w:rFonts w:ascii="CyrillicCooper" w:hAnsi="CyrillicCooper" w:cs="Times New Roman"/>
          <w:b/>
          <w:color w:val="993300"/>
          <w:sz w:val="28"/>
          <w:szCs w:val="28"/>
        </w:rPr>
      </w:pPr>
    </w:p>
    <w:p w:rsidR="00396A6B" w:rsidRDefault="00396A6B" w:rsidP="000A60A8">
      <w:pPr>
        <w:shd w:val="clear" w:color="auto" w:fill="FFFFFF"/>
        <w:spacing w:line="264" w:lineRule="exact"/>
        <w:ind w:left="14"/>
        <w:jc w:val="center"/>
        <w:rPr>
          <w:rFonts w:ascii="CyrillicCooper" w:hAnsi="CyrillicCooper" w:cs="Times New Roman"/>
          <w:b/>
          <w:color w:val="993300"/>
          <w:sz w:val="28"/>
          <w:szCs w:val="28"/>
        </w:rPr>
      </w:pPr>
    </w:p>
    <w:p w:rsidR="000A60A8" w:rsidRPr="00811C79" w:rsidRDefault="000A60A8" w:rsidP="000A60A8">
      <w:pPr>
        <w:shd w:val="clear" w:color="auto" w:fill="FFFFFF"/>
        <w:spacing w:line="264" w:lineRule="exact"/>
        <w:ind w:left="14"/>
        <w:jc w:val="center"/>
        <w:rPr>
          <w:rFonts w:ascii="CyrillicCooper" w:hAnsi="CyrillicCooper"/>
          <w:b/>
          <w:color w:val="993300"/>
          <w:sz w:val="28"/>
          <w:szCs w:val="28"/>
        </w:rPr>
      </w:pPr>
      <w:bookmarkStart w:id="0" w:name="_GoBack"/>
      <w:bookmarkEnd w:id="0"/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ПАМЯТКА</w:t>
      </w:r>
    </w:p>
    <w:p w:rsidR="000A60A8" w:rsidRPr="00811C79" w:rsidRDefault="000A60A8" w:rsidP="000A60A8">
      <w:pPr>
        <w:shd w:val="clear" w:color="auto" w:fill="FFFFFF"/>
        <w:spacing w:line="264" w:lineRule="exact"/>
        <w:ind w:left="62" w:right="58"/>
        <w:jc w:val="center"/>
        <w:rPr>
          <w:rFonts w:ascii="CyrillicCooper" w:hAnsi="CyrillicCooper" w:cs="Times New Roman"/>
          <w:b/>
          <w:color w:val="993300"/>
          <w:sz w:val="28"/>
          <w:szCs w:val="28"/>
        </w:rPr>
      </w:pP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О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СОБЛЮДЕНИИ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ТРЕБОВАНИЙ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ПРАВИЛ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ПОЖАРНОЙ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БЕЗОПАСНОСТИ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ПРИ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ПРОВЕДЕНИИ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НОВОГОДНИХ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И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РОЖДЕСТВЕНСКИХ</w:t>
      </w:r>
      <w:r w:rsidRPr="00811C79">
        <w:rPr>
          <w:rFonts w:ascii="CyrillicCooper" w:hAnsi="CyrillicCooper"/>
          <w:b/>
          <w:color w:val="993300"/>
          <w:sz w:val="28"/>
          <w:szCs w:val="28"/>
        </w:rPr>
        <w:t xml:space="preserve"> </w:t>
      </w:r>
      <w:r w:rsidRPr="00811C79">
        <w:rPr>
          <w:rFonts w:ascii="CyrillicCooper" w:hAnsi="CyrillicCooper" w:cs="Times New Roman"/>
          <w:b/>
          <w:color w:val="993300"/>
          <w:sz w:val="28"/>
          <w:szCs w:val="28"/>
        </w:rPr>
        <w:t>МЕРОПРИЯТИЙ</w:t>
      </w:r>
    </w:p>
    <w:p w:rsidR="000A60A8" w:rsidRPr="00F33FD0" w:rsidRDefault="000A60A8" w:rsidP="000A60A8">
      <w:pPr>
        <w:shd w:val="clear" w:color="auto" w:fill="FFFFFF"/>
        <w:spacing w:line="264" w:lineRule="exact"/>
        <w:ind w:left="62" w:right="58"/>
        <w:jc w:val="center"/>
        <w:rPr>
          <w:rFonts w:ascii="CyrillicCooper" w:hAnsi="CyrillicCooper"/>
          <w:color w:val="9933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749300" cy="914400"/>
            <wp:effectExtent l="0" t="0" r="0" b="0"/>
            <wp:wrapSquare wrapText="bothSides"/>
            <wp:docPr id="5" name="Рисунок 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C7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Новогодние и Рождественские праздники 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>- это пора массовых утрен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ников, вечеров отдыха, дискотек. И только строгое соблюдение требо</w:t>
      </w:r>
      <w:r w:rsidRPr="00F33FD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ваний правил пожарной безопасности при организации и проведении праздничных мероприятий поможет избежать травм, увечий, а также 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встретить Новый год более безопасно.</w:t>
      </w:r>
    </w:p>
    <w:p w:rsidR="000A60A8" w:rsidRPr="00811C79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  <w:r w:rsidRPr="00811C79">
        <w:rPr>
          <w:rFonts w:ascii="Times New Roman" w:hAnsi="Times New Roman" w:cs="Times New Roman"/>
          <w:b/>
          <w:i/>
          <w:caps/>
          <w:color w:val="E36C0A"/>
          <w:sz w:val="24"/>
          <w:szCs w:val="24"/>
        </w:rPr>
        <w:t>Ответственными за обеспечение пожарной безопасности при проведении культурно-массовых мероприятий (вечеров, спектаклей, новогодних елок и т.п.) являются руководители учреждений.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347345</wp:posOffset>
            </wp:positionV>
            <wp:extent cx="953135" cy="1143000"/>
            <wp:effectExtent l="0" t="0" r="0" b="0"/>
            <wp:wrapSquare wrapText="bothSides"/>
            <wp:docPr id="4" name="Рисунок 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Перед началом новогодних и рождественских мероприятий руководитель учреждения должен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тщательно проверить все помещения, эваку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 xml:space="preserve">ационные пути и выходы на соответствие их требованиям пожарной безопасности, а также убедиться в наличии и исправном состоянии 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средств пожаротушения, связи и пожарной автоматики. Все выявленные недостатки должны быть устранены до начала культурно-массового мероприятия.</w:t>
      </w:r>
    </w:p>
    <w:p w:rsidR="000A60A8" w:rsidRPr="007F3B54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На время проведения новогодних мероприятий должно быть обеспечено</w:t>
      </w:r>
      <w:r w:rsidRPr="00AF02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дежурство на сцене и в зальных помещениях ответственных лиц из 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>числа работников учреждения, членов добровольных пожарных фор</w:t>
      </w:r>
      <w:r w:rsidRPr="00F33FD0">
        <w:rPr>
          <w:rFonts w:ascii="Times New Roman" w:hAnsi="Times New Roman" w:cs="Times New Roman"/>
          <w:color w:val="000000"/>
          <w:spacing w:val="1"/>
          <w:sz w:val="26"/>
          <w:szCs w:val="26"/>
        </w:rPr>
        <w:t>мирований и сотрудников государственного пожарного надзора.</w:t>
      </w:r>
      <w:r w:rsidRPr="007F3B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Во время проведения культурно-массового мероприятия с детьми</w:t>
      </w:r>
      <w:r w:rsidRPr="00F33FD0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должны неотлучно находиться дежурный преподаватель, классные ру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ководители или воспитатели. Эти лица должны быть проинструктированы о мерах пожарной безопасности и порядке эвакуации детей в случае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возникновения пожара и обязаны обеспечить строгое соблюдение тре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 xml:space="preserve">бований пожарной безопасности при проведении культурно-массового 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мероприятия.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607695" cy="1012825"/>
            <wp:effectExtent l="0" t="0" r="1905" b="0"/>
            <wp:wrapSquare wrapText="bothSides"/>
            <wp:docPr id="3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Этажи и помещения, где проводятся новогодние мероприятия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, должны 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иметь не менее двух рассредоточенных эвакуационных выходов. Допус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кается использовать только помещения, расположенные не выше 2-го этажа в зданиях с горючими перекрытиями.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Эвакуационные выходы из помещений должны быть обозначены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свето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выми указателями с надписью "Выход" белого цвета на зеленом фоне, </w:t>
      </w:r>
      <w:r w:rsidRPr="00F33FD0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подключенными к сети аварийного или эвакуационного освещения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здания. При наличии людей в помещениях световые указатели должны быть во включенном состоянии.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При проведении новогоднего и рождественского вечера елка должна</w:t>
      </w:r>
      <w:r w:rsidRPr="00F67AE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</w:t>
      </w:r>
      <w:r w:rsidRPr="00F33FD0">
        <w:rPr>
          <w:rFonts w:ascii="Times New Roman" w:hAnsi="Times New Roman" w:cs="Times New Roman"/>
          <w:color w:val="000000"/>
          <w:spacing w:val="-3"/>
          <w:sz w:val="26"/>
          <w:szCs w:val="26"/>
        </w:rPr>
        <w:t>толков.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554990</wp:posOffset>
            </wp:positionV>
            <wp:extent cx="872490" cy="1344930"/>
            <wp:effectExtent l="0" t="0" r="3810" b="7620"/>
            <wp:wrapSquare wrapText="bothSides"/>
            <wp:docPr id="2" name="Рисунок 2" descr="М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М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Оформление иллюминации елки должно</w:t>
      </w:r>
      <w:r w:rsidRPr="00F67AE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>производиться только опытным электриком. Иллюминация елки должна быть смонтирована про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чно, надежно и с соблюдением требований Правил устройства электро</w:t>
      </w:r>
      <w:r w:rsidRPr="00F33FD0">
        <w:rPr>
          <w:rFonts w:ascii="Times New Roman" w:hAnsi="Times New Roman" w:cs="Times New Roman"/>
          <w:color w:val="000000"/>
          <w:spacing w:val="-3"/>
          <w:sz w:val="26"/>
          <w:szCs w:val="26"/>
        </w:rPr>
        <w:t>установок.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2B7">
        <w:rPr>
          <w:rFonts w:ascii="Times New Roman" w:hAnsi="Times New Roman" w:cs="Times New Roman"/>
          <w:b/>
          <w:i/>
          <w:color w:val="000000"/>
          <w:sz w:val="26"/>
          <w:szCs w:val="26"/>
        </w:rPr>
        <w:t>Лампочки в гирляндах должны быть мощностью не более 25 Вт</w:t>
      </w:r>
      <w:r w:rsidRPr="00AF02B7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F67AE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 xml:space="preserve">При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этом электропровода, питающие лампочки елочного освещения, долж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 xml:space="preserve">ны быть гибкими, с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>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AEF">
        <w:rPr>
          <w:rFonts w:ascii="Times New Roman" w:hAnsi="Times New Roman" w:cs="Times New Roman"/>
          <w:b/>
          <w:i/>
          <w:caps/>
          <w:color w:val="FF0000"/>
          <w:sz w:val="26"/>
          <w:szCs w:val="26"/>
        </w:rPr>
        <w:t>При неисправности елочного освещения</w:t>
      </w:r>
      <w:r w:rsidRPr="00F33FD0">
        <w:rPr>
          <w:rFonts w:ascii="Times New Roman" w:hAnsi="Times New Roman" w:cs="Times New Roman"/>
          <w:color w:val="000000"/>
          <w:sz w:val="26"/>
          <w:szCs w:val="26"/>
        </w:rPr>
        <w:t xml:space="preserve"> (сильное нагревание проводов, мигание лампочек, искрение и т.п.) иллюминация должна быть </w:t>
      </w:r>
      <w:r w:rsidRPr="00F33FD0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немедленно отключена и не включаться до выяснения неисправностей </w:t>
      </w:r>
      <w:r w:rsidRPr="00F33FD0">
        <w:rPr>
          <w:rFonts w:ascii="Times New Roman" w:hAnsi="Times New Roman" w:cs="Times New Roman"/>
          <w:color w:val="000000"/>
          <w:spacing w:val="-3"/>
          <w:sz w:val="26"/>
          <w:szCs w:val="26"/>
        </w:rPr>
        <w:t>и их устранения.</w:t>
      </w:r>
    </w:p>
    <w:p w:rsidR="000A60A8" w:rsidRPr="00F33FD0" w:rsidRDefault="000A60A8" w:rsidP="000A60A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67AEF">
        <w:rPr>
          <w:rFonts w:ascii="Times New Roman" w:hAnsi="Times New Roman" w:cs="Times New Roman"/>
          <w:b/>
          <w:i/>
          <w:color w:val="5F497A"/>
          <w:sz w:val="26"/>
          <w:szCs w:val="26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, </w:t>
      </w:r>
      <w:r w:rsidRPr="00F67AEF">
        <w:rPr>
          <w:rFonts w:ascii="CyrillicCooper" w:hAnsi="CyrillicCooper" w:cs="Times New Roman"/>
          <w:b/>
          <w:caps/>
          <w:color w:val="FF0000"/>
          <w:sz w:val="26"/>
          <w:szCs w:val="26"/>
        </w:rPr>
        <w:t>запрещается</w:t>
      </w:r>
      <w:r w:rsidRPr="00F33FD0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0A60A8" w:rsidRDefault="000A60A8" w:rsidP="000A60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A60A8" w:rsidSect="00F67AEF">
      <w:pgSz w:w="11906" w:h="16838"/>
      <w:pgMar w:top="142" w:right="386" w:bottom="142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Coope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A8"/>
    <w:rsid w:val="000A60A8"/>
    <w:rsid w:val="00203B8B"/>
    <w:rsid w:val="00396A6B"/>
    <w:rsid w:val="006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77697-76A7-48FD-8FA0-A1880DB7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2013-12-17T10:05:00Z</dcterms:created>
  <dcterms:modified xsi:type="dcterms:W3CDTF">2013-12-17T10:06:00Z</dcterms:modified>
</cp:coreProperties>
</file>